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A48B6" w14:textId="77777777" w:rsidR="00DF7624" w:rsidRDefault="00DF7624" w:rsidP="003B173F">
      <w:pPr>
        <w:spacing w:after="0" w:line="240" w:lineRule="auto"/>
        <w:rPr>
          <w:rFonts w:eastAsia="Calibri" w:cs="Arial"/>
          <w:szCs w:val="24"/>
        </w:rPr>
      </w:pPr>
    </w:p>
    <w:p w14:paraId="183102AA" w14:textId="77777777" w:rsidR="003B173F" w:rsidRPr="00E4572E" w:rsidRDefault="003B173F" w:rsidP="003B173F">
      <w:pPr>
        <w:spacing w:after="0" w:line="240" w:lineRule="auto"/>
        <w:rPr>
          <w:rFonts w:eastAsia="Calibri" w:cs="Arial"/>
          <w:szCs w:val="24"/>
        </w:rPr>
      </w:pPr>
      <w:r w:rsidRPr="00E4572E">
        <w:rPr>
          <w:rFonts w:eastAsia="Calibri" w:cs="Arial"/>
          <w:szCs w:val="24"/>
        </w:rPr>
        <w:t xml:space="preserve">The </w:t>
      </w:r>
      <w:r w:rsidRPr="00E4572E">
        <w:rPr>
          <w:rFonts w:eastAsia="Calibri" w:cs="Arial"/>
          <w:b/>
          <w:bCs/>
          <w:szCs w:val="24"/>
        </w:rPr>
        <w:t>Youth Employment and Skills Strategy</w:t>
      </w:r>
      <w:r w:rsidRPr="00E4572E">
        <w:rPr>
          <w:rFonts w:eastAsia="Calibri" w:cs="Arial"/>
          <w:szCs w:val="24"/>
        </w:rPr>
        <w:t xml:space="preserve"> (YESS) is a Government of Canada initiative led by Employment and Social Development Canada (ESDC) and delivered in partnership with 11 other federal departments, agencies, and Crown corporations. </w:t>
      </w:r>
    </w:p>
    <w:p w14:paraId="263291D6" w14:textId="77777777" w:rsidR="003B173F" w:rsidRPr="00E4572E" w:rsidRDefault="003B173F" w:rsidP="003B173F">
      <w:pPr>
        <w:spacing w:after="0" w:line="240" w:lineRule="auto"/>
        <w:rPr>
          <w:rFonts w:eastAsia="Calibri" w:cs="Arial"/>
          <w:szCs w:val="24"/>
        </w:rPr>
      </w:pPr>
    </w:p>
    <w:p w14:paraId="11A5E8B4" w14:textId="6FC0F5B6" w:rsidR="774CD3C8" w:rsidRDefault="0002662E" w:rsidP="00C342A2">
      <w:pPr>
        <w:spacing w:after="0" w:line="240" w:lineRule="auto"/>
        <w:rPr>
          <w:rFonts w:eastAsia="Calibri" w:cs="Arial"/>
          <w:szCs w:val="24"/>
        </w:rPr>
      </w:pPr>
      <w:r w:rsidRPr="00C342A2">
        <w:rPr>
          <w:rFonts w:eastAsia="Calibri" w:cs="Arial"/>
          <w:szCs w:val="24"/>
        </w:rPr>
        <w:t>Through the delivery of 16 unique programs, the Strategy aims to provide youth (aged 15 to 30), including those who may be underrepresented or face barriers to employment, with meaningful opportunities to gain work experience, develop necessary skills and receive wraparound supports to help them and find and keep quality jobs. Programs under the YESS help remove barriers for young people to get ahead, reach their employment goals and thrive. </w:t>
      </w:r>
    </w:p>
    <w:p w14:paraId="5637E056" w14:textId="77777777" w:rsidR="00C342A2" w:rsidRPr="00C342A2" w:rsidRDefault="00C342A2" w:rsidP="00C342A2">
      <w:pPr>
        <w:spacing w:after="0" w:line="240" w:lineRule="auto"/>
        <w:rPr>
          <w:rFonts w:eastAsia="Calibri" w:cs="Arial"/>
          <w:szCs w:val="24"/>
        </w:rPr>
      </w:pPr>
    </w:p>
    <w:p w14:paraId="7069D6D9" w14:textId="77777777" w:rsidR="003B173F" w:rsidRPr="00C342A2" w:rsidRDefault="003B173F" w:rsidP="00C342A2">
      <w:pPr>
        <w:spacing w:after="0" w:line="240" w:lineRule="auto"/>
        <w:rPr>
          <w:rFonts w:eastAsia="Calibri" w:cs="Arial"/>
          <w:szCs w:val="24"/>
        </w:rPr>
      </w:pPr>
      <w:r w:rsidRPr="00C342A2">
        <w:rPr>
          <w:rFonts w:eastAsia="Calibri" w:cs="Arial"/>
          <w:szCs w:val="24"/>
        </w:rPr>
        <w:t>Employment and Social Development Canada (ESDC) delivers two programs under the Strategy:</w:t>
      </w:r>
    </w:p>
    <w:p w14:paraId="27643673" w14:textId="64D4E515" w:rsidR="003B173F" w:rsidRPr="00E4572E" w:rsidRDefault="003B173F" w:rsidP="003B173F">
      <w:pPr>
        <w:pStyle w:val="ListParagraph"/>
        <w:numPr>
          <w:ilvl w:val="1"/>
          <w:numId w:val="2"/>
        </w:numPr>
        <w:spacing w:before="240" w:line="240" w:lineRule="auto"/>
        <w:ind w:left="1003" w:hanging="283"/>
        <w:rPr>
          <w:rFonts w:cs="Arial"/>
          <w:szCs w:val="24"/>
          <w:lang w:eastAsia="en-CA"/>
        </w:rPr>
      </w:pPr>
      <w:r w:rsidRPr="00E4572E">
        <w:rPr>
          <w:rFonts w:cs="Arial"/>
          <w:szCs w:val="24"/>
          <w:lang w:eastAsia="en-CA"/>
        </w:rPr>
        <w:t xml:space="preserve">The ESDC Youth Employment and Skills Strategy (YESS) Program supports youth (aged 15-30) in overcoming barriers to employment, with </w:t>
      </w:r>
      <w:r w:rsidRPr="00E4572E">
        <w:rPr>
          <w:rFonts w:eastAsia="Arial" w:cs="Arial"/>
          <w:szCs w:val="24"/>
        </w:rPr>
        <w:t>a focus on those furthest from opportunity, such as those not in education, employment or training (NEET)</w:t>
      </w:r>
      <w:r w:rsidRPr="00E4572E">
        <w:rPr>
          <w:rFonts w:cs="Arial"/>
          <w:szCs w:val="24"/>
          <w:lang w:eastAsia="en-CA"/>
        </w:rPr>
        <w:t xml:space="preserve">. </w:t>
      </w:r>
    </w:p>
    <w:p w14:paraId="4A8997BE" w14:textId="77777777" w:rsidR="003B173F" w:rsidRPr="00E4572E" w:rsidRDefault="003B173F" w:rsidP="003B173F">
      <w:pPr>
        <w:pStyle w:val="ListParagraph"/>
        <w:spacing w:line="240" w:lineRule="auto"/>
        <w:ind w:left="949"/>
        <w:rPr>
          <w:rFonts w:eastAsiaTheme="minorEastAsia" w:cs="Arial"/>
          <w:szCs w:val="24"/>
          <w:lang w:eastAsia="en-CA"/>
        </w:rPr>
      </w:pPr>
    </w:p>
    <w:p w14:paraId="07C6E64E" w14:textId="05A9323E" w:rsidR="003B173F" w:rsidRPr="00E4572E" w:rsidRDefault="003B173F" w:rsidP="003B173F">
      <w:pPr>
        <w:pStyle w:val="ListParagraph"/>
        <w:spacing w:before="240" w:line="240" w:lineRule="auto"/>
        <w:ind w:left="1003"/>
        <w:rPr>
          <w:rFonts w:cs="Arial"/>
          <w:szCs w:val="24"/>
          <w:lang w:eastAsia="en-CA"/>
        </w:rPr>
      </w:pPr>
      <w:r w:rsidRPr="00E4572E">
        <w:rPr>
          <w:rFonts w:cs="Arial"/>
          <w:szCs w:val="24"/>
          <w:lang w:eastAsia="en-CA"/>
        </w:rPr>
        <w:t xml:space="preserve">The program provides funding to organizations to deliver individually tailored supports and services with the goal of equipping youth with the tools needed to succeed on their employment journeys. For example, as part of their employment programming, youth may receive mentorship, skills development and training, wrap-around supports (e.g., dependent care support, mental health counselling) and/or paid work experiences.  </w:t>
      </w:r>
    </w:p>
    <w:p w14:paraId="3BE55540" w14:textId="77777777" w:rsidR="003B173F" w:rsidRPr="00E4572E" w:rsidRDefault="003B173F" w:rsidP="003B173F">
      <w:pPr>
        <w:pStyle w:val="ListParagraph"/>
        <w:spacing w:before="240" w:line="240" w:lineRule="auto"/>
        <w:ind w:left="709"/>
        <w:rPr>
          <w:rFonts w:eastAsiaTheme="minorEastAsia" w:cs="Arial"/>
          <w:szCs w:val="24"/>
          <w:lang w:eastAsia="en-CA"/>
        </w:rPr>
      </w:pPr>
    </w:p>
    <w:p w14:paraId="601E5A9A" w14:textId="12D24C0E" w:rsidR="003B173F" w:rsidRPr="00E4572E" w:rsidRDefault="003B173F" w:rsidP="3E61EFCB">
      <w:pPr>
        <w:pStyle w:val="ListParagraph"/>
        <w:spacing w:before="240" w:line="240" w:lineRule="auto"/>
        <w:ind w:left="1003"/>
        <w:rPr>
          <w:rFonts w:eastAsiaTheme="minorEastAsia" w:cs="Arial"/>
          <w:lang w:eastAsia="en-CA"/>
        </w:rPr>
      </w:pPr>
      <w:r w:rsidRPr="3E61EFCB">
        <w:rPr>
          <w:rFonts w:eastAsiaTheme="minorEastAsia" w:cs="Arial"/>
          <w:lang w:eastAsia="en-CA"/>
        </w:rPr>
        <w:t xml:space="preserve">Additionally, the program encourages cross-sectoral strategic collaboration and </w:t>
      </w:r>
      <w:r w:rsidRPr="3E61EFCB">
        <w:rPr>
          <w:rFonts w:cs="Arial"/>
          <w:lang w:eastAsia="en-CA"/>
        </w:rPr>
        <w:t>innovation</w:t>
      </w:r>
      <w:r w:rsidRPr="3E61EFCB">
        <w:rPr>
          <w:rFonts w:eastAsiaTheme="minorEastAsia" w:cs="Arial"/>
          <w:lang w:eastAsia="en-CA"/>
        </w:rPr>
        <w:t xml:space="preserve"> to address new and emerging systemic challenges in the youth employment sector (e.g., employers, service </w:t>
      </w:r>
      <w:r w:rsidRPr="3E61EFCB">
        <w:rPr>
          <w:rFonts w:eastAsia="Times New Roman" w:cs="Arial"/>
          <w:lang w:eastAsia="en-CA"/>
        </w:rPr>
        <w:t>providers</w:t>
      </w:r>
      <w:r w:rsidRPr="3E61EFCB">
        <w:rPr>
          <w:rFonts w:eastAsiaTheme="minorEastAsia" w:cs="Arial"/>
          <w:lang w:eastAsia="en-CA"/>
        </w:rPr>
        <w:t>, educational institutions</w:t>
      </w:r>
      <w:r w:rsidR="47DBEF65" w:rsidRPr="3E61EFCB">
        <w:rPr>
          <w:rFonts w:eastAsiaTheme="minorEastAsia" w:cs="Arial"/>
          <w:lang w:eastAsia="en-CA"/>
        </w:rPr>
        <w:t>) and</w:t>
      </w:r>
      <w:r w:rsidRPr="3E61EFCB">
        <w:rPr>
          <w:rFonts w:eastAsiaTheme="minorEastAsia" w:cs="Arial"/>
          <w:lang w:eastAsia="en-CA"/>
        </w:rPr>
        <w:t xml:space="preserve"> increase organizational capacity to improve outcomes for youth across the country.</w:t>
      </w:r>
    </w:p>
    <w:p w14:paraId="64B571E7" w14:textId="77777777" w:rsidR="003B173F" w:rsidRPr="00E4572E" w:rsidRDefault="003B173F" w:rsidP="003B173F">
      <w:pPr>
        <w:pStyle w:val="ListParagraph"/>
        <w:spacing w:before="240" w:line="240" w:lineRule="auto"/>
        <w:ind w:left="1003"/>
        <w:rPr>
          <w:rFonts w:eastAsiaTheme="minorEastAsia" w:cs="Arial"/>
          <w:szCs w:val="24"/>
          <w:lang w:eastAsia="en-CA"/>
        </w:rPr>
      </w:pPr>
    </w:p>
    <w:p w14:paraId="7D8A0D14" w14:textId="47460833" w:rsidR="003B173F" w:rsidRPr="00E4572E" w:rsidRDefault="003B173F" w:rsidP="003B173F">
      <w:pPr>
        <w:pStyle w:val="ListParagraph"/>
        <w:spacing w:before="240" w:line="240" w:lineRule="auto"/>
        <w:ind w:left="1003"/>
        <w:rPr>
          <w:rFonts w:eastAsia="Times New Roman" w:cs="Arial"/>
          <w:szCs w:val="24"/>
          <w:lang w:eastAsia="en-CA"/>
        </w:rPr>
      </w:pPr>
      <w:r w:rsidRPr="00E4572E">
        <w:rPr>
          <w:rFonts w:eastAsiaTheme="minorEastAsia" w:cs="Arial"/>
          <w:szCs w:val="24"/>
          <w:lang w:eastAsia="en-CA"/>
        </w:rPr>
        <w:t>Youth</w:t>
      </w:r>
      <w:r w:rsidRPr="00E4572E">
        <w:rPr>
          <w:rFonts w:eastAsia="Times New Roman" w:cs="Arial"/>
          <w:szCs w:val="24"/>
          <w:lang w:eastAsia="en-CA"/>
        </w:rPr>
        <w:t xml:space="preserve"> who face barriers such as: </w:t>
      </w:r>
    </w:p>
    <w:p w14:paraId="3424B938" w14:textId="77777777" w:rsidR="003B173F" w:rsidRPr="00E4572E" w:rsidRDefault="003B173F" w:rsidP="003B173F">
      <w:pPr>
        <w:pStyle w:val="ListParagraph"/>
        <w:numPr>
          <w:ilvl w:val="0"/>
          <w:numId w:val="2"/>
        </w:numPr>
        <w:spacing w:line="240" w:lineRule="auto"/>
        <w:ind w:left="1669"/>
        <w:rPr>
          <w:rFonts w:eastAsiaTheme="minorEastAsia" w:cs="Arial"/>
          <w:szCs w:val="24"/>
        </w:rPr>
      </w:pPr>
      <w:r w:rsidRPr="00E4572E">
        <w:rPr>
          <w:rFonts w:eastAsiaTheme="minorEastAsia" w:cs="Arial"/>
          <w:szCs w:val="24"/>
        </w:rPr>
        <w:t>Indigenous youth;</w:t>
      </w:r>
    </w:p>
    <w:p w14:paraId="7FE2640B" w14:textId="77777777" w:rsidR="003B173F" w:rsidRPr="00E4572E" w:rsidRDefault="003B173F" w:rsidP="003B173F">
      <w:pPr>
        <w:pStyle w:val="ListParagraph"/>
        <w:numPr>
          <w:ilvl w:val="0"/>
          <w:numId w:val="2"/>
        </w:numPr>
        <w:spacing w:line="240" w:lineRule="auto"/>
        <w:ind w:left="1669"/>
        <w:rPr>
          <w:rFonts w:eastAsiaTheme="minorEastAsia" w:cs="Arial"/>
          <w:szCs w:val="24"/>
        </w:rPr>
      </w:pPr>
      <w:r w:rsidRPr="00E4572E">
        <w:rPr>
          <w:rFonts w:eastAsiaTheme="minorEastAsia" w:cs="Arial"/>
          <w:szCs w:val="24"/>
        </w:rPr>
        <w:t>Black youth</w:t>
      </w:r>
    </w:p>
    <w:p w14:paraId="2B24FDDF" w14:textId="77777777" w:rsidR="003B173F" w:rsidRPr="00E4572E" w:rsidRDefault="003B173F" w:rsidP="003B173F">
      <w:pPr>
        <w:pStyle w:val="ListParagraph"/>
        <w:numPr>
          <w:ilvl w:val="0"/>
          <w:numId w:val="2"/>
        </w:numPr>
        <w:spacing w:line="240" w:lineRule="auto"/>
        <w:ind w:left="1669"/>
        <w:rPr>
          <w:rFonts w:eastAsiaTheme="minorEastAsia" w:cs="Arial"/>
          <w:szCs w:val="24"/>
        </w:rPr>
      </w:pPr>
      <w:r w:rsidRPr="00E4572E">
        <w:rPr>
          <w:rFonts w:eastAsiaTheme="minorEastAsia" w:cs="Arial"/>
          <w:szCs w:val="24"/>
        </w:rPr>
        <w:t xml:space="preserve">Racialized youth; </w:t>
      </w:r>
    </w:p>
    <w:p w14:paraId="452C21DD" w14:textId="77777777" w:rsidR="003B173F" w:rsidRPr="00E4572E" w:rsidRDefault="003B173F" w:rsidP="003B173F">
      <w:pPr>
        <w:pStyle w:val="ListParagraph"/>
        <w:numPr>
          <w:ilvl w:val="0"/>
          <w:numId w:val="2"/>
        </w:numPr>
        <w:spacing w:line="240" w:lineRule="auto"/>
        <w:ind w:left="1669"/>
        <w:rPr>
          <w:rFonts w:eastAsiaTheme="minorEastAsia" w:cs="Arial"/>
          <w:szCs w:val="24"/>
        </w:rPr>
      </w:pPr>
      <w:r w:rsidRPr="00E4572E">
        <w:rPr>
          <w:rFonts w:eastAsiaTheme="minorEastAsia" w:cs="Arial"/>
          <w:szCs w:val="24"/>
        </w:rPr>
        <w:t>2SLGBTQI+ youth;</w:t>
      </w:r>
    </w:p>
    <w:p w14:paraId="4F025088" w14:textId="49677B45" w:rsidR="003B173F" w:rsidRPr="00E4572E" w:rsidRDefault="003B173F" w:rsidP="003B173F">
      <w:pPr>
        <w:pStyle w:val="ListParagraph"/>
        <w:numPr>
          <w:ilvl w:val="0"/>
          <w:numId w:val="2"/>
        </w:numPr>
        <w:spacing w:line="240" w:lineRule="auto"/>
        <w:ind w:left="1669"/>
        <w:rPr>
          <w:rFonts w:eastAsiaTheme="minorEastAsia" w:cs="Arial"/>
          <w:szCs w:val="24"/>
        </w:rPr>
      </w:pPr>
      <w:r w:rsidRPr="00E4572E">
        <w:rPr>
          <w:rFonts w:eastAsiaTheme="minorEastAsia" w:cs="Arial"/>
          <w:szCs w:val="24"/>
        </w:rPr>
        <w:t>Youth with disabilities; and</w:t>
      </w:r>
    </w:p>
    <w:p w14:paraId="5391D8A2" w14:textId="39F8A37A" w:rsidR="003B173F" w:rsidRPr="00E4572E" w:rsidRDefault="003B173F" w:rsidP="003B173F">
      <w:pPr>
        <w:pStyle w:val="ListParagraph"/>
        <w:numPr>
          <w:ilvl w:val="0"/>
          <w:numId w:val="2"/>
        </w:numPr>
        <w:spacing w:line="240" w:lineRule="auto"/>
        <w:ind w:left="1669"/>
        <w:rPr>
          <w:rFonts w:eastAsiaTheme="minorEastAsia" w:cs="Arial"/>
          <w:szCs w:val="24"/>
        </w:rPr>
      </w:pPr>
      <w:r w:rsidRPr="00E4572E">
        <w:rPr>
          <w:rFonts w:eastAsiaTheme="minorEastAsia" w:cs="Arial"/>
          <w:szCs w:val="24"/>
        </w:rPr>
        <w:t>Youth living in rural, remote, Northern, fly-in and/or official language minority communities.</w:t>
      </w:r>
    </w:p>
    <w:p w14:paraId="6FAE89D2" w14:textId="77777777" w:rsidR="003B173F" w:rsidRPr="00E4572E" w:rsidRDefault="003B173F" w:rsidP="003B173F">
      <w:pPr>
        <w:pStyle w:val="ListParagraph"/>
        <w:spacing w:line="240" w:lineRule="auto"/>
        <w:ind w:left="1669"/>
        <w:rPr>
          <w:rStyle w:val="normaltextrun"/>
          <w:rFonts w:cs="Arial"/>
          <w:szCs w:val="24"/>
        </w:rPr>
      </w:pPr>
    </w:p>
    <w:p w14:paraId="2C685C0F" w14:textId="77777777" w:rsidR="003B173F" w:rsidRPr="00E4572E" w:rsidRDefault="003B173F" w:rsidP="003B173F">
      <w:pPr>
        <w:pStyle w:val="ListParagraph"/>
        <w:spacing w:line="240" w:lineRule="auto"/>
        <w:ind w:left="949"/>
        <w:rPr>
          <w:rFonts w:eastAsiaTheme="minorEastAsia" w:cs="Arial"/>
          <w:szCs w:val="24"/>
          <w:lang w:eastAsia="en-CA"/>
        </w:rPr>
      </w:pPr>
    </w:p>
    <w:p w14:paraId="3AA06645" w14:textId="683821D5" w:rsidR="003B173F" w:rsidRPr="00E4572E" w:rsidRDefault="003B173F" w:rsidP="003B173F">
      <w:pPr>
        <w:pStyle w:val="ListParagraph"/>
        <w:numPr>
          <w:ilvl w:val="0"/>
          <w:numId w:val="3"/>
        </w:numPr>
        <w:spacing w:before="240" w:line="240" w:lineRule="auto"/>
        <w:ind w:left="949"/>
        <w:rPr>
          <w:rFonts w:cs="Arial"/>
          <w:szCs w:val="24"/>
          <w:lang w:eastAsia="en-CA"/>
        </w:rPr>
      </w:pPr>
      <w:r w:rsidRPr="00E4572E">
        <w:rPr>
          <w:rFonts w:cs="Arial"/>
          <w:b/>
          <w:bCs/>
          <w:color w:val="000000" w:themeColor="text1"/>
          <w:szCs w:val="24"/>
        </w:rPr>
        <w:t>Canada Summer Jobs (CSJ)</w:t>
      </w:r>
      <w:r w:rsidRPr="00E4572E">
        <w:rPr>
          <w:rFonts w:cs="Arial"/>
          <w:szCs w:val="24"/>
          <w:lang w:eastAsia="en-CA"/>
        </w:rPr>
        <w:t xml:space="preserve"> </w:t>
      </w:r>
      <w:r w:rsidRPr="00E4572E">
        <w:rPr>
          <w:rFonts w:eastAsiaTheme="minorEastAsia" w:cs="Arial"/>
          <w:szCs w:val="24"/>
          <w:lang w:eastAsia="en-CA"/>
        </w:rPr>
        <w:t xml:space="preserve">provides youth (aged 15 to 30) with opportunities to develop and improve their skills through quality jobs over the summer. </w:t>
      </w:r>
      <w:r w:rsidRPr="00E4572E">
        <w:rPr>
          <w:rFonts w:cs="Arial"/>
          <w:szCs w:val="24"/>
          <w:lang w:eastAsia="en-CA"/>
        </w:rPr>
        <w:t xml:space="preserve">It supports employers from not-for-profit organizations and the public </w:t>
      </w:r>
      <w:r w:rsidRPr="00E4572E">
        <w:rPr>
          <w:rFonts w:cs="Arial"/>
          <w:szCs w:val="24"/>
          <w:lang w:eastAsia="en-CA"/>
        </w:rPr>
        <w:lastRenderedPageBreak/>
        <w:t xml:space="preserve">sector, as well as private sector organizations with 50 or fewer full-time employees, to provide quality summer employment opportunities for youth. </w:t>
      </w:r>
    </w:p>
    <w:p w14:paraId="36802F19" w14:textId="77777777" w:rsidR="003B173F" w:rsidRPr="00E4572E" w:rsidRDefault="003B173F" w:rsidP="003B173F">
      <w:pPr>
        <w:pStyle w:val="ListParagraph"/>
        <w:spacing w:before="240" w:line="240" w:lineRule="auto"/>
        <w:ind w:left="949"/>
        <w:rPr>
          <w:rFonts w:cs="Arial"/>
          <w:szCs w:val="24"/>
          <w:lang w:eastAsia="en-CA"/>
        </w:rPr>
      </w:pPr>
    </w:p>
    <w:p w14:paraId="79F9C923" w14:textId="6E6287A7" w:rsidR="00713560" w:rsidRDefault="003B173F" w:rsidP="002A5042">
      <w:pPr>
        <w:pStyle w:val="ListParagraph"/>
        <w:spacing w:before="240" w:line="240" w:lineRule="auto"/>
        <w:ind w:left="949"/>
        <w:rPr>
          <w:rFonts w:cs="Arial"/>
          <w:szCs w:val="24"/>
          <w:lang w:eastAsia="en-CA"/>
        </w:rPr>
      </w:pPr>
      <w:r w:rsidRPr="00E4572E">
        <w:rPr>
          <w:rFonts w:cs="Arial"/>
          <w:szCs w:val="24"/>
          <w:lang w:eastAsia="en-CA"/>
        </w:rPr>
        <w:t>For some youth, CSJ is a first job experience that informs future education, training, and career choices. The program is responsive to national and local priorities, as well as labour market needs</w:t>
      </w:r>
      <w:r w:rsidR="002A5042">
        <w:rPr>
          <w:rFonts w:cs="Arial"/>
          <w:szCs w:val="24"/>
          <w:lang w:eastAsia="en-CA"/>
        </w:rPr>
        <w:t xml:space="preserve">. </w:t>
      </w:r>
    </w:p>
    <w:p w14:paraId="3E9EAD1F" w14:textId="77777777" w:rsidR="002A5042" w:rsidRDefault="002A5042" w:rsidP="002A5042">
      <w:pPr>
        <w:pStyle w:val="ListParagraph"/>
        <w:spacing w:before="240" w:line="240" w:lineRule="auto"/>
        <w:ind w:left="949"/>
        <w:rPr>
          <w:rFonts w:cs="Arial"/>
          <w:szCs w:val="24"/>
          <w:lang w:eastAsia="en-CA"/>
        </w:rPr>
      </w:pPr>
    </w:p>
    <w:p w14:paraId="380471F2" w14:textId="59BF7ED1" w:rsidR="00F1279D" w:rsidRPr="00861F2A" w:rsidRDefault="00F1279D">
      <w:pPr>
        <w:rPr>
          <w:rFonts w:cs="Arial"/>
          <w:szCs w:val="24"/>
          <w:lang w:eastAsia="en-CA"/>
        </w:rPr>
      </w:pPr>
    </w:p>
    <w:sectPr w:rsidR="00F1279D" w:rsidRPr="00861F2A">
      <w:headerReference w:type="default"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195E2" w14:textId="77777777" w:rsidR="00106E37" w:rsidRDefault="00106E37" w:rsidP="003B173F">
      <w:pPr>
        <w:spacing w:after="0" w:line="240" w:lineRule="auto"/>
      </w:pPr>
      <w:r>
        <w:separator/>
      </w:r>
    </w:p>
  </w:endnote>
  <w:endnote w:type="continuationSeparator" w:id="0">
    <w:p w14:paraId="5B388CA3" w14:textId="77777777" w:rsidR="00106E37" w:rsidRDefault="00106E37" w:rsidP="003B1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9771279"/>
      <w:docPartObj>
        <w:docPartGallery w:val="Page Numbers (Bottom of Page)"/>
        <w:docPartUnique/>
      </w:docPartObj>
    </w:sdtPr>
    <w:sdtEndPr>
      <w:rPr>
        <w:noProof/>
      </w:rPr>
    </w:sdtEndPr>
    <w:sdtContent>
      <w:p w14:paraId="37E10788" w14:textId="72B16C39" w:rsidR="003B173F" w:rsidRDefault="003B173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9B3E8C1" w14:textId="77777777" w:rsidR="003B173F" w:rsidRDefault="003B17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66B03B" w14:textId="77777777" w:rsidR="00106E37" w:rsidRDefault="00106E37" w:rsidP="003B173F">
      <w:pPr>
        <w:spacing w:after="0" w:line="240" w:lineRule="auto"/>
      </w:pPr>
      <w:r>
        <w:separator/>
      </w:r>
    </w:p>
  </w:footnote>
  <w:footnote w:type="continuationSeparator" w:id="0">
    <w:p w14:paraId="57CB12C1" w14:textId="77777777" w:rsidR="00106E37" w:rsidRDefault="00106E37" w:rsidP="003B17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0C8C2" w14:textId="0F7F2D5D" w:rsidR="003B173F" w:rsidRPr="0037326E" w:rsidRDefault="003B173F" w:rsidP="003B173F">
    <w:pPr>
      <w:pStyle w:val="Header"/>
      <w:jc w:val="center"/>
      <w:rPr>
        <w:rFonts w:eastAsia="Calibri" w:cs="Arial"/>
        <w:b/>
        <w:bCs/>
        <w:szCs w:val="24"/>
      </w:rPr>
    </w:pPr>
    <w:r w:rsidRPr="0037326E">
      <w:rPr>
        <w:rFonts w:eastAsia="Calibri" w:cs="Arial"/>
        <w:b/>
        <w:bCs/>
        <w:szCs w:val="24"/>
      </w:rPr>
      <w:t>Youth Employment and Skills Strategy</w:t>
    </w:r>
  </w:p>
  <w:p w14:paraId="515480D0" w14:textId="5D777AEF" w:rsidR="003B173F" w:rsidRPr="003B173F" w:rsidRDefault="003B173F" w:rsidP="003B173F">
    <w:pPr>
      <w:pStyle w:val="Header"/>
      <w:jc w:val="center"/>
      <w:rPr>
        <w:b/>
        <w:bCs/>
      </w:rPr>
    </w:pPr>
    <w:r>
      <w:rPr>
        <w:rFonts w:eastAsia="Calibri" w:cs="Arial"/>
        <w:b/>
        <w:bCs/>
        <w:szCs w:val="24"/>
      </w:rPr>
      <w:t>October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B17B2"/>
    <w:multiLevelType w:val="multilevel"/>
    <w:tmpl w:val="86726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546B90"/>
    <w:multiLevelType w:val="hybridMultilevel"/>
    <w:tmpl w:val="559A8D4C"/>
    <w:lvl w:ilvl="0" w:tplc="10090001">
      <w:start w:val="1"/>
      <w:numFmt w:val="bullet"/>
      <w:lvlText w:val=""/>
      <w:lvlJc w:val="left"/>
      <w:pPr>
        <w:ind w:left="720" w:hanging="360"/>
      </w:pPr>
      <w:rPr>
        <w:rFonts w:ascii="Symbol" w:hAnsi="Symbol" w:hint="default"/>
      </w:rPr>
    </w:lvl>
    <w:lvl w:ilvl="1" w:tplc="FFFFFFFF">
      <w:start w:val="1"/>
      <w:numFmt w:val="decimal"/>
      <w:lvlText w:val="%2."/>
      <w:lvlJc w:val="left"/>
      <w:pPr>
        <w:ind w:left="1440" w:hanging="360"/>
      </w:pPr>
    </w:lvl>
    <w:lvl w:ilvl="2" w:tplc="10090005">
      <w:start w:val="1"/>
      <w:numFmt w:val="bullet"/>
      <w:lvlText w:val=""/>
      <w:lvlJc w:val="left"/>
      <w:pPr>
        <w:ind w:left="2160" w:hanging="360"/>
      </w:pPr>
      <w:rPr>
        <w:rFonts w:ascii="Wingdings" w:hAnsi="Wingdings" w:hint="default"/>
      </w:rPr>
    </w:lvl>
    <w:lvl w:ilvl="3" w:tplc="CAC2F8DA">
      <w:start w:val="1"/>
      <w:numFmt w:val="lowerLetter"/>
      <w:lvlText w:val="%4)"/>
      <w:lvlJc w:val="left"/>
      <w:pPr>
        <w:ind w:left="2880" w:hanging="360"/>
      </w:pPr>
      <w:rPr>
        <w:rFonts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B1A1F33"/>
    <w:multiLevelType w:val="hybridMultilevel"/>
    <w:tmpl w:val="BB4CC6CC"/>
    <w:lvl w:ilvl="0" w:tplc="190E9664">
      <w:start w:val="1"/>
      <w:numFmt w:val="decimal"/>
      <w:lvlText w:val="%1."/>
      <w:lvlJc w:val="left"/>
      <w:pPr>
        <w:ind w:left="1080" w:hanging="360"/>
      </w:pPr>
      <w:rPr>
        <w:rFonts w:hint="default"/>
        <w:b w:val="0"/>
        <w:bCs/>
        <w:color w:val="000000" w:themeColor="text1"/>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4E72036"/>
    <w:multiLevelType w:val="multilevel"/>
    <w:tmpl w:val="C1AC90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CD7223"/>
    <w:multiLevelType w:val="hybridMultilevel"/>
    <w:tmpl w:val="4B7AEF82"/>
    <w:lvl w:ilvl="0" w:tplc="93D854D0">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15:restartNumberingAfterBreak="0">
    <w:nsid w:val="381407B9"/>
    <w:multiLevelType w:val="hybridMultilevel"/>
    <w:tmpl w:val="40E02368"/>
    <w:lvl w:ilvl="0" w:tplc="D1BA781E">
      <w:start w:val="1"/>
      <w:numFmt w:val="bullet"/>
      <w:lvlText w:val=""/>
      <w:lvlJc w:val="left"/>
      <w:pPr>
        <w:ind w:left="720" w:hanging="360"/>
      </w:pPr>
      <w:rPr>
        <w:rFonts w:ascii="Symbol" w:hAnsi="Symbol" w:hint="default"/>
      </w:rPr>
    </w:lvl>
    <w:lvl w:ilvl="1" w:tplc="71869382">
      <w:start w:val="1"/>
      <w:numFmt w:val="bullet"/>
      <w:lvlText w:val="o"/>
      <w:lvlJc w:val="left"/>
      <w:pPr>
        <w:ind w:left="1440" w:hanging="360"/>
      </w:pPr>
      <w:rPr>
        <w:rFonts w:ascii="Courier New" w:hAnsi="Courier New" w:hint="default"/>
      </w:rPr>
    </w:lvl>
    <w:lvl w:ilvl="2" w:tplc="778A6158">
      <w:start w:val="1"/>
      <w:numFmt w:val="bullet"/>
      <w:lvlText w:val=""/>
      <w:lvlJc w:val="left"/>
      <w:pPr>
        <w:ind w:left="2160" w:hanging="360"/>
      </w:pPr>
      <w:rPr>
        <w:rFonts w:ascii="Wingdings" w:hAnsi="Wingdings" w:hint="default"/>
      </w:rPr>
    </w:lvl>
    <w:lvl w:ilvl="3" w:tplc="FCE0CDDA">
      <w:start w:val="1"/>
      <w:numFmt w:val="bullet"/>
      <w:lvlText w:val=""/>
      <w:lvlJc w:val="left"/>
      <w:pPr>
        <w:ind w:left="2880" w:hanging="360"/>
      </w:pPr>
      <w:rPr>
        <w:rFonts w:ascii="Symbol" w:hAnsi="Symbol" w:hint="default"/>
      </w:rPr>
    </w:lvl>
    <w:lvl w:ilvl="4" w:tplc="AA5E56DC">
      <w:start w:val="1"/>
      <w:numFmt w:val="bullet"/>
      <w:lvlText w:val="o"/>
      <w:lvlJc w:val="left"/>
      <w:pPr>
        <w:ind w:left="3600" w:hanging="360"/>
      </w:pPr>
      <w:rPr>
        <w:rFonts w:ascii="Courier New" w:hAnsi="Courier New" w:hint="default"/>
      </w:rPr>
    </w:lvl>
    <w:lvl w:ilvl="5" w:tplc="CC2C6A8A">
      <w:start w:val="1"/>
      <w:numFmt w:val="bullet"/>
      <w:lvlText w:val=""/>
      <w:lvlJc w:val="left"/>
      <w:pPr>
        <w:ind w:left="4320" w:hanging="360"/>
      </w:pPr>
      <w:rPr>
        <w:rFonts w:ascii="Wingdings" w:hAnsi="Wingdings" w:hint="default"/>
      </w:rPr>
    </w:lvl>
    <w:lvl w:ilvl="6" w:tplc="98020B9E">
      <w:start w:val="1"/>
      <w:numFmt w:val="bullet"/>
      <w:lvlText w:val=""/>
      <w:lvlJc w:val="left"/>
      <w:pPr>
        <w:ind w:left="5040" w:hanging="360"/>
      </w:pPr>
      <w:rPr>
        <w:rFonts w:ascii="Symbol" w:hAnsi="Symbol" w:hint="default"/>
      </w:rPr>
    </w:lvl>
    <w:lvl w:ilvl="7" w:tplc="2DA0B1E8">
      <w:start w:val="1"/>
      <w:numFmt w:val="bullet"/>
      <w:lvlText w:val="o"/>
      <w:lvlJc w:val="left"/>
      <w:pPr>
        <w:ind w:left="5760" w:hanging="360"/>
      </w:pPr>
      <w:rPr>
        <w:rFonts w:ascii="Courier New" w:hAnsi="Courier New" w:hint="default"/>
      </w:rPr>
    </w:lvl>
    <w:lvl w:ilvl="8" w:tplc="82F8DE74">
      <w:start w:val="1"/>
      <w:numFmt w:val="bullet"/>
      <w:lvlText w:val=""/>
      <w:lvlJc w:val="left"/>
      <w:pPr>
        <w:ind w:left="6480" w:hanging="360"/>
      </w:pPr>
      <w:rPr>
        <w:rFonts w:ascii="Wingdings" w:hAnsi="Wingdings" w:hint="default"/>
      </w:rPr>
    </w:lvl>
  </w:abstractNum>
  <w:abstractNum w:abstractNumId="6" w15:restartNumberingAfterBreak="0">
    <w:nsid w:val="3D7E4E66"/>
    <w:multiLevelType w:val="hybridMultilevel"/>
    <w:tmpl w:val="DDB89E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DC45C1D"/>
    <w:multiLevelType w:val="hybridMultilevel"/>
    <w:tmpl w:val="E68AD7CA"/>
    <w:lvl w:ilvl="0" w:tplc="80081CB6">
      <w:start w:val="2"/>
      <w:numFmt w:val="decimal"/>
      <w:lvlText w:val="%1."/>
      <w:lvlJc w:val="left"/>
      <w:pPr>
        <w:ind w:left="1080" w:hanging="360"/>
      </w:pPr>
      <w:rPr>
        <w:rFonts w:hint="default"/>
        <w:b/>
        <w:color w:val="000000" w:themeColor="text1"/>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15:restartNumberingAfterBreak="0">
    <w:nsid w:val="48610138"/>
    <w:multiLevelType w:val="hybridMultilevel"/>
    <w:tmpl w:val="CF0CBAF8"/>
    <w:lvl w:ilvl="0" w:tplc="49B64334">
      <w:start w:val="1"/>
      <w:numFmt w:val="bullet"/>
      <w:lvlText w:val=""/>
      <w:lvlJc w:val="left"/>
      <w:pPr>
        <w:ind w:left="720" w:hanging="360"/>
      </w:pPr>
      <w:rPr>
        <w:rFonts w:ascii="Symbol" w:hAnsi="Symbol" w:hint="default"/>
        <w:sz w:val="24"/>
        <w:szCs w:val="24"/>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AB61CB8"/>
    <w:multiLevelType w:val="hybridMultilevel"/>
    <w:tmpl w:val="9AC29534"/>
    <w:lvl w:ilvl="0" w:tplc="5D109D8E">
      <w:start w:val="1"/>
      <w:numFmt w:val="bullet"/>
      <w:lvlText w:val=""/>
      <w:lvlJc w:val="left"/>
      <w:pPr>
        <w:ind w:left="720" w:hanging="360"/>
      </w:pPr>
      <w:rPr>
        <w:rFonts w:ascii="Symbol" w:hAnsi="Symbol" w:hint="default"/>
      </w:rPr>
    </w:lvl>
    <w:lvl w:ilvl="1" w:tplc="BD620E8A">
      <w:start w:val="1"/>
      <w:numFmt w:val="bullet"/>
      <w:lvlText w:val="o"/>
      <w:lvlJc w:val="left"/>
      <w:pPr>
        <w:ind w:left="1440" w:hanging="360"/>
      </w:pPr>
      <w:rPr>
        <w:rFonts w:ascii="Courier New" w:hAnsi="Courier New" w:hint="default"/>
      </w:rPr>
    </w:lvl>
    <w:lvl w:ilvl="2" w:tplc="1A5E057E">
      <w:start w:val="1"/>
      <w:numFmt w:val="bullet"/>
      <w:lvlText w:val=""/>
      <w:lvlJc w:val="left"/>
      <w:pPr>
        <w:ind w:left="2160" w:hanging="360"/>
      </w:pPr>
      <w:rPr>
        <w:rFonts w:ascii="Wingdings" w:hAnsi="Wingdings" w:hint="default"/>
      </w:rPr>
    </w:lvl>
    <w:lvl w:ilvl="3" w:tplc="F1CE067C">
      <w:start w:val="1"/>
      <w:numFmt w:val="bullet"/>
      <w:lvlText w:val=""/>
      <w:lvlJc w:val="left"/>
      <w:pPr>
        <w:ind w:left="2880" w:hanging="360"/>
      </w:pPr>
      <w:rPr>
        <w:rFonts w:ascii="Symbol" w:hAnsi="Symbol" w:hint="default"/>
      </w:rPr>
    </w:lvl>
    <w:lvl w:ilvl="4" w:tplc="18DC06FC">
      <w:start w:val="1"/>
      <w:numFmt w:val="bullet"/>
      <w:lvlText w:val="o"/>
      <w:lvlJc w:val="left"/>
      <w:pPr>
        <w:ind w:left="3600" w:hanging="360"/>
      </w:pPr>
      <w:rPr>
        <w:rFonts w:ascii="Courier New" w:hAnsi="Courier New" w:hint="default"/>
      </w:rPr>
    </w:lvl>
    <w:lvl w:ilvl="5" w:tplc="3F261D5C">
      <w:start w:val="1"/>
      <w:numFmt w:val="bullet"/>
      <w:lvlText w:val=""/>
      <w:lvlJc w:val="left"/>
      <w:pPr>
        <w:ind w:left="4320" w:hanging="360"/>
      </w:pPr>
      <w:rPr>
        <w:rFonts w:ascii="Wingdings" w:hAnsi="Wingdings" w:hint="default"/>
      </w:rPr>
    </w:lvl>
    <w:lvl w:ilvl="6" w:tplc="9A24F7D0">
      <w:start w:val="1"/>
      <w:numFmt w:val="bullet"/>
      <w:lvlText w:val=""/>
      <w:lvlJc w:val="left"/>
      <w:pPr>
        <w:ind w:left="5040" w:hanging="360"/>
      </w:pPr>
      <w:rPr>
        <w:rFonts w:ascii="Symbol" w:hAnsi="Symbol" w:hint="default"/>
      </w:rPr>
    </w:lvl>
    <w:lvl w:ilvl="7" w:tplc="96FE0792">
      <w:start w:val="1"/>
      <w:numFmt w:val="bullet"/>
      <w:lvlText w:val="o"/>
      <w:lvlJc w:val="left"/>
      <w:pPr>
        <w:ind w:left="5760" w:hanging="360"/>
      </w:pPr>
      <w:rPr>
        <w:rFonts w:ascii="Courier New" w:hAnsi="Courier New" w:hint="default"/>
      </w:rPr>
    </w:lvl>
    <w:lvl w:ilvl="8" w:tplc="D92063E4">
      <w:start w:val="1"/>
      <w:numFmt w:val="bullet"/>
      <w:lvlText w:val=""/>
      <w:lvlJc w:val="left"/>
      <w:pPr>
        <w:ind w:left="6480" w:hanging="360"/>
      </w:pPr>
      <w:rPr>
        <w:rFonts w:ascii="Wingdings" w:hAnsi="Wingdings" w:hint="default"/>
      </w:rPr>
    </w:lvl>
  </w:abstractNum>
  <w:abstractNum w:abstractNumId="10" w15:restartNumberingAfterBreak="0">
    <w:nsid w:val="5E3735A7"/>
    <w:multiLevelType w:val="hybridMultilevel"/>
    <w:tmpl w:val="000648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68FA13F2"/>
    <w:multiLevelType w:val="hybridMultilevel"/>
    <w:tmpl w:val="9378ECA0"/>
    <w:lvl w:ilvl="0" w:tplc="FFFFFFFF">
      <w:start w:val="1"/>
      <w:numFmt w:val="bullet"/>
      <w:lvlText w:val=""/>
      <w:lvlJc w:val="left"/>
      <w:pPr>
        <w:ind w:left="1440" w:hanging="360"/>
      </w:pPr>
      <w:rPr>
        <w:rFonts w:ascii="Symbol" w:hAnsi="Symbol" w:hint="default"/>
        <w:b/>
        <w:color w:val="000000" w:themeColor="text1"/>
      </w:rPr>
    </w:lvl>
    <w:lvl w:ilvl="1" w:tplc="10090019">
      <w:start w:val="1"/>
      <w:numFmt w:val="lowerLetter"/>
      <w:lvlText w:val="%2."/>
      <w:lvlJc w:val="left"/>
      <w:pPr>
        <w:ind w:left="2160" w:hanging="360"/>
      </w:pPr>
    </w:lvl>
    <w:lvl w:ilvl="2" w:tplc="1009001B">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num w:numId="1" w16cid:durableId="911544602">
    <w:abstractNumId w:val="8"/>
  </w:num>
  <w:num w:numId="2" w16cid:durableId="786583764">
    <w:abstractNumId w:val="1"/>
  </w:num>
  <w:num w:numId="3" w16cid:durableId="295186316">
    <w:abstractNumId w:val="7"/>
  </w:num>
  <w:num w:numId="4" w16cid:durableId="164981798">
    <w:abstractNumId w:val="6"/>
  </w:num>
  <w:num w:numId="5" w16cid:durableId="1822697913">
    <w:abstractNumId w:val="10"/>
  </w:num>
  <w:num w:numId="6" w16cid:durableId="1026712806">
    <w:abstractNumId w:val="11"/>
  </w:num>
  <w:num w:numId="7" w16cid:durableId="779491616">
    <w:abstractNumId w:val="0"/>
  </w:num>
  <w:num w:numId="8" w16cid:durableId="1055737074">
    <w:abstractNumId w:val="4"/>
  </w:num>
  <w:num w:numId="9" w16cid:durableId="1899827691">
    <w:abstractNumId w:val="2"/>
  </w:num>
  <w:num w:numId="10" w16cid:durableId="1682463711">
    <w:abstractNumId w:val="3"/>
  </w:num>
  <w:num w:numId="11" w16cid:durableId="1797063615">
    <w:abstractNumId w:val="5"/>
  </w:num>
  <w:num w:numId="12" w16cid:durableId="9273482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73F"/>
    <w:rsid w:val="00004C4F"/>
    <w:rsid w:val="0002662E"/>
    <w:rsid w:val="000274EC"/>
    <w:rsid w:val="000327C5"/>
    <w:rsid w:val="00036900"/>
    <w:rsid w:val="0006772A"/>
    <w:rsid w:val="000B4183"/>
    <w:rsid w:val="000C367B"/>
    <w:rsid w:val="000D2FBC"/>
    <w:rsid w:val="000F4B96"/>
    <w:rsid w:val="00106E37"/>
    <w:rsid w:val="00112FD8"/>
    <w:rsid w:val="00133E73"/>
    <w:rsid w:val="00141C02"/>
    <w:rsid w:val="00154E90"/>
    <w:rsid w:val="001906DB"/>
    <w:rsid w:val="001A64FD"/>
    <w:rsid w:val="001A6DAE"/>
    <w:rsid w:val="001E2D8F"/>
    <w:rsid w:val="002A5042"/>
    <w:rsid w:val="002B3DA5"/>
    <w:rsid w:val="002C1B66"/>
    <w:rsid w:val="003058D7"/>
    <w:rsid w:val="00320B63"/>
    <w:rsid w:val="00325097"/>
    <w:rsid w:val="00344D3B"/>
    <w:rsid w:val="003467C2"/>
    <w:rsid w:val="003472FD"/>
    <w:rsid w:val="00367CDD"/>
    <w:rsid w:val="0037326E"/>
    <w:rsid w:val="0037696A"/>
    <w:rsid w:val="00390704"/>
    <w:rsid w:val="003B173F"/>
    <w:rsid w:val="003C412B"/>
    <w:rsid w:val="004368CE"/>
    <w:rsid w:val="00453EF1"/>
    <w:rsid w:val="00453F5D"/>
    <w:rsid w:val="00494377"/>
    <w:rsid w:val="004D131F"/>
    <w:rsid w:val="00537C86"/>
    <w:rsid w:val="00557A5E"/>
    <w:rsid w:val="005B2E9A"/>
    <w:rsid w:val="005B7027"/>
    <w:rsid w:val="005E1C3C"/>
    <w:rsid w:val="00682F98"/>
    <w:rsid w:val="006A4C2D"/>
    <w:rsid w:val="006B3C14"/>
    <w:rsid w:val="006D1D87"/>
    <w:rsid w:val="006D4A83"/>
    <w:rsid w:val="006E652C"/>
    <w:rsid w:val="00713560"/>
    <w:rsid w:val="00766653"/>
    <w:rsid w:val="0076690B"/>
    <w:rsid w:val="00774696"/>
    <w:rsid w:val="00785092"/>
    <w:rsid w:val="007D2E53"/>
    <w:rsid w:val="007E7F25"/>
    <w:rsid w:val="007F46BD"/>
    <w:rsid w:val="008449D0"/>
    <w:rsid w:val="008604E1"/>
    <w:rsid w:val="00861F2A"/>
    <w:rsid w:val="008A259F"/>
    <w:rsid w:val="008B328E"/>
    <w:rsid w:val="008B4AA6"/>
    <w:rsid w:val="008E71D6"/>
    <w:rsid w:val="009105D6"/>
    <w:rsid w:val="00963A1E"/>
    <w:rsid w:val="00964652"/>
    <w:rsid w:val="009678D7"/>
    <w:rsid w:val="0098565F"/>
    <w:rsid w:val="009918FE"/>
    <w:rsid w:val="009C1460"/>
    <w:rsid w:val="009D27CC"/>
    <w:rsid w:val="009E0C7D"/>
    <w:rsid w:val="009E594F"/>
    <w:rsid w:val="009F4659"/>
    <w:rsid w:val="00A0364D"/>
    <w:rsid w:val="00A67C72"/>
    <w:rsid w:val="00A7255E"/>
    <w:rsid w:val="00A72771"/>
    <w:rsid w:val="00AA46FF"/>
    <w:rsid w:val="00B42DCB"/>
    <w:rsid w:val="00B43BAC"/>
    <w:rsid w:val="00B71349"/>
    <w:rsid w:val="00B86AA0"/>
    <w:rsid w:val="00B905C5"/>
    <w:rsid w:val="00BF523E"/>
    <w:rsid w:val="00C07D66"/>
    <w:rsid w:val="00C16A68"/>
    <w:rsid w:val="00C27761"/>
    <w:rsid w:val="00C342A2"/>
    <w:rsid w:val="00C36C67"/>
    <w:rsid w:val="00C43E89"/>
    <w:rsid w:val="00C74627"/>
    <w:rsid w:val="00C840DB"/>
    <w:rsid w:val="00C93EEB"/>
    <w:rsid w:val="00CC0F83"/>
    <w:rsid w:val="00CD546C"/>
    <w:rsid w:val="00CF19A5"/>
    <w:rsid w:val="00CF701A"/>
    <w:rsid w:val="00D22AE3"/>
    <w:rsid w:val="00D30893"/>
    <w:rsid w:val="00DA6A33"/>
    <w:rsid w:val="00DA7534"/>
    <w:rsid w:val="00DF5C84"/>
    <w:rsid w:val="00DF7624"/>
    <w:rsid w:val="00E1100C"/>
    <w:rsid w:val="00E4572E"/>
    <w:rsid w:val="00E5382C"/>
    <w:rsid w:val="00E73867"/>
    <w:rsid w:val="00E91D52"/>
    <w:rsid w:val="00EC411E"/>
    <w:rsid w:val="00EC6384"/>
    <w:rsid w:val="00F1279D"/>
    <w:rsid w:val="00F43573"/>
    <w:rsid w:val="00F657D9"/>
    <w:rsid w:val="00F677EC"/>
    <w:rsid w:val="00F70CAB"/>
    <w:rsid w:val="00F82196"/>
    <w:rsid w:val="3E61EFCB"/>
    <w:rsid w:val="47DBEF65"/>
    <w:rsid w:val="774CD3C8"/>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D79AA"/>
  <w15:chartTrackingRefBased/>
  <w15:docId w15:val="{778D22A6-2DB3-4236-BAB5-F9B2C41AD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17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B17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B173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B173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B173F"/>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B173F"/>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B173F"/>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B173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B173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173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B173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B173F"/>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B173F"/>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B173F"/>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B173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B173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B173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B173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B17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17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173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173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B173F"/>
    <w:pPr>
      <w:spacing w:before="160"/>
      <w:jc w:val="center"/>
    </w:pPr>
    <w:rPr>
      <w:i/>
      <w:iCs/>
      <w:color w:val="404040" w:themeColor="text1" w:themeTint="BF"/>
    </w:rPr>
  </w:style>
  <w:style w:type="character" w:customStyle="1" w:styleId="QuoteChar">
    <w:name w:val="Quote Char"/>
    <w:basedOn w:val="DefaultParagraphFont"/>
    <w:link w:val="Quote"/>
    <w:uiPriority w:val="29"/>
    <w:rsid w:val="003B173F"/>
    <w:rPr>
      <w:i/>
      <w:iCs/>
      <w:color w:val="404040" w:themeColor="text1" w:themeTint="BF"/>
    </w:rPr>
  </w:style>
  <w:style w:type="paragraph" w:styleId="ListParagraph">
    <w:name w:val="List Paragraph"/>
    <w:aliases w:val="Dot pt,F5 List Paragraph,List Paragraph1,Colorful List - Accent 11,No Spacing1,List Paragraph Char Char Char,Indicator Text,Numbered Para 1,Bullet 1,Bullet Points,List Paragraph2,MAIN CONTENT,OBC Bullet,List Paragraph12,table bullets"/>
    <w:basedOn w:val="Normal"/>
    <w:link w:val="ListParagraphChar"/>
    <w:uiPriority w:val="34"/>
    <w:qFormat/>
    <w:rsid w:val="003B173F"/>
    <w:pPr>
      <w:ind w:left="720"/>
      <w:contextualSpacing/>
    </w:pPr>
  </w:style>
  <w:style w:type="character" w:styleId="IntenseEmphasis">
    <w:name w:val="Intense Emphasis"/>
    <w:basedOn w:val="DefaultParagraphFont"/>
    <w:uiPriority w:val="21"/>
    <w:qFormat/>
    <w:rsid w:val="003B173F"/>
    <w:rPr>
      <w:i/>
      <w:iCs/>
      <w:color w:val="0F4761" w:themeColor="accent1" w:themeShade="BF"/>
    </w:rPr>
  </w:style>
  <w:style w:type="paragraph" w:styleId="IntenseQuote">
    <w:name w:val="Intense Quote"/>
    <w:basedOn w:val="Normal"/>
    <w:next w:val="Normal"/>
    <w:link w:val="IntenseQuoteChar"/>
    <w:uiPriority w:val="30"/>
    <w:qFormat/>
    <w:rsid w:val="003B17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173F"/>
    <w:rPr>
      <w:i/>
      <w:iCs/>
      <w:color w:val="0F4761" w:themeColor="accent1" w:themeShade="BF"/>
    </w:rPr>
  </w:style>
  <w:style w:type="character" w:styleId="IntenseReference">
    <w:name w:val="Intense Reference"/>
    <w:basedOn w:val="DefaultParagraphFont"/>
    <w:uiPriority w:val="32"/>
    <w:qFormat/>
    <w:rsid w:val="003B173F"/>
    <w:rPr>
      <w:b/>
      <w:bCs/>
      <w:smallCaps/>
      <w:color w:val="0F4761" w:themeColor="accent1" w:themeShade="BF"/>
      <w:spacing w:val="5"/>
    </w:rPr>
  </w:style>
  <w:style w:type="character" w:customStyle="1" w:styleId="normaltextrun">
    <w:name w:val="normaltextrun"/>
    <w:basedOn w:val="DefaultParagraphFont"/>
    <w:rsid w:val="003B173F"/>
  </w:style>
  <w:style w:type="character" w:customStyle="1" w:styleId="ListParagraphChar">
    <w:name w:val="List Paragraph Char"/>
    <w:aliases w:val="Dot pt Char,F5 List Paragraph Char,List Paragraph1 Char,Colorful List - Accent 11 Char,No Spacing1 Char,List Paragraph Char Char Char Char,Indicator Text Char,Numbered Para 1 Char,Bullet 1 Char,Bullet Points Char,List Paragraph2 Char"/>
    <w:link w:val="ListParagraph"/>
    <w:uiPriority w:val="34"/>
    <w:qFormat/>
    <w:rsid w:val="003B173F"/>
  </w:style>
  <w:style w:type="character" w:styleId="CommentReference">
    <w:name w:val="annotation reference"/>
    <w:basedOn w:val="DefaultParagraphFont"/>
    <w:uiPriority w:val="99"/>
    <w:semiHidden/>
    <w:unhideWhenUsed/>
    <w:rsid w:val="003B173F"/>
    <w:rPr>
      <w:sz w:val="16"/>
      <w:szCs w:val="16"/>
    </w:rPr>
  </w:style>
  <w:style w:type="paragraph" w:customStyle="1" w:styleId="paragraph">
    <w:name w:val="paragraph"/>
    <w:basedOn w:val="Normal"/>
    <w:rsid w:val="003B173F"/>
    <w:pPr>
      <w:spacing w:before="100" w:beforeAutospacing="1" w:after="100" w:afterAutospacing="1" w:line="240" w:lineRule="auto"/>
    </w:pPr>
    <w:rPr>
      <w:rFonts w:ascii="Times New Roman" w:eastAsia="Times New Roman" w:hAnsi="Times New Roman" w:cs="Times New Roman"/>
      <w:kern w:val="0"/>
      <w:szCs w:val="24"/>
      <w:lang w:eastAsia="en-CA"/>
      <w14:ligatures w14:val="none"/>
    </w:rPr>
  </w:style>
  <w:style w:type="paragraph" w:styleId="Header">
    <w:name w:val="header"/>
    <w:basedOn w:val="Normal"/>
    <w:link w:val="HeaderChar"/>
    <w:uiPriority w:val="99"/>
    <w:unhideWhenUsed/>
    <w:rsid w:val="003B17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73F"/>
  </w:style>
  <w:style w:type="paragraph" w:styleId="Footer">
    <w:name w:val="footer"/>
    <w:basedOn w:val="Normal"/>
    <w:link w:val="FooterChar"/>
    <w:uiPriority w:val="99"/>
    <w:unhideWhenUsed/>
    <w:rsid w:val="003B17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173F"/>
  </w:style>
  <w:style w:type="character" w:styleId="Hyperlink">
    <w:name w:val="Hyperlink"/>
    <w:basedOn w:val="DefaultParagraphFont"/>
    <w:uiPriority w:val="99"/>
    <w:unhideWhenUsed/>
    <w:rsid w:val="0076690B"/>
    <w:rPr>
      <w:color w:val="467886" w:themeColor="hyperlink"/>
      <w:u w:val="single"/>
    </w:rPr>
  </w:style>
  <w:style w:type="character" w:styleId="UnresolvedMention">
    <w:name w:val="Unresolved Mention"/>
    <w:basedOn w:val="DefaultParagraphFont"/>
    <w:uiPriority w:val="99"/>
    <w:semiHidden/>
    <w:unhideWhenUsed/>
    <w:rsid w:val="007669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545858">
      <w:bodyDiv w:val="1"/>
      <w:marLeft w:val="0"/>
      <w:marRight w:val="0"/>
      <w:marTop w:val="0"/>
      <w:marBottom w:val="0"/>
      <w:divBdr>
        <w:top w:val="none" w:sz="0" w:space="0" w:color="auto"/>
        <w:left w:val="none" w:sz="0" w:space="0" w:color="auto"/>
        <w:bottom w:val="none" w:sz="0" w:space="0" w:color="auto"/>
        <w:right w:val="none" w:sz="0" w:space="0" w:color="auto"/>
      </w:divBdr>
      <w:divsChild>
        <w:div w:id="979308957">
          <w:marLeft w:val="0"/>
          <w:marRight w:val="0"/>
          <w:marTop w:val="0"/>
          <w:marBottom w:val="0"/>
          <w:divBdr>
            <w:top w:val="none" w:sz="0" w:space="0" w:color="auto"/>
            <w:left w:val="none" w:sz="0" w:space="0" w:color="auto"/>
            <w:bottom w:val="none" w:sz="0" w:space="0" w:color="auto"/>
            <w:right w:val="none" w:sz="0" w:space="0" w:color="auto"/>
          </w:divBdr>
        </w:div>
        <w:div w:id="1004894823">
          <w:marLeft w:val="0"/>
          <w:marRight w:val="0"/>
          <w:marTop w:val="0"/>
          <w:marBottom w:val="0"/>
          <w:divBdr>
            <w:top w:val="none" w:sz="0" w:space="0" w:color="auto"/>
            <w:left w:val="none" w:sz="0" w:space="0" w:color="auto"/>
            <w:bottom w:val="none" w:sz="0" w:space="0" w:color="auto"/>
            <w:right w:val="none" w:sz="0" w:space="0" w:color="auto"/>
          </w:divBdr>
        </w:div>
        <w:div w:id="1080061601">
          <w:marLeft w:val="0"/>
          <w:marRight w:val="0"/>
          <w:marTop w:val="0"/>
          <w:marBottom w:val="0"/>
          <w:divBdr>
            <w:top w:val="none" w:sz="0" w:space="0" w:color="auto"/>
            <w:left w:val="none" w:sz="0" w:space="0" w:color="auto"/>
            <w:bottom w:val="none" w:sz="0" w:space="0" w:color="auto"/>
            <w:right w:val="none" w:sz="0" w:space="0" w:color="auto"/>
          </w:divBdr>
        </w:div>
        <w:div w:id="1614168045">
          <w:marLeft w:val="0"/>
          <w:marRight w:val="0"/>
          <w:marTop w:val="0"/>
          <w:marBottom w:val="0"/>
          <w:divBdr>
            <w:top w:val="none" w:sz="0" w:space="0" w:color="auto"/>
            <w:left w:val="none" w:sz="0" w:space="0" w:color="auto"/>
            <w:bottom w:val="none" w:sz="0" w:space="0" w:color="auto"/>
            <w:right w:val="none" w:sz="0" w:space="0" w:color="auto"/>
          </w:divBdr>
        </w:div>
        <w:div w:id="1989626342">
          <w:marLeft w:val="0"/>
          <w:marRight w:val="0"/>
          <w:marTop w:val="0"/>
          <w:marBottom w:val="0"/>
          <w:divBdr>
            <w:top w:val="none" w:sz="0" w:space="0" w:color="auto"/>
            <w:left w:val="none" w:sz="0" w:space="0" w:color="auto"/>
            <w:bottom w:val="none" w:sz="0" w:space="0" w:color="auto"/>
            <w:right w:val="none" w:sz="0" w:space="0" w:color="auto"/>
          </w:divBdr>
        </w:div>
      </w:divsChild>
    </w:div>
    <w:div w:id="546795676">
      <w:bodyDiv w:val="1"/>
      <w:marLeft w:val="0"/>
      <w:marRight w:val="0"/>
      <w:marTop w:val="0"/>
      <w:marBottom w:val="0"/>
      <w:divBdr>
        <w:top w:val="none" w:sz="0" w:space="0" w:color="auto"/>
        <w:left w:val="none" w:sz="0" w:space="0" w:color="auto"/>
        <w:bottom w:val="none" w:sz="0" w:space="0" w:color="auto"/>
        <w:right w:val="none" w:sz="0" w:space="0" w:color="auto"/>
      </w:divBdr>
      <w:divsChild>
        <w:div w:id="1437170255">
          <w:marLeft w:val="0"/>
          <w:marRight w:val="0"/>
          <w:marTop w:val="0"/>
          <w:marBottom w:val="0"/>
          <w:divBdr>
            <w:top w:val="none" w:sz="0" w:space="0" w:color="auto"/>
            <w:left w:val="none" w:sz="0" w:space="0" w:color="auto"/>
            <w:bottom w:val="none" w:sz="0" w:space="0" w:color="auto"/>
            <w:right w:val="none" w:sz="0" w:space="0" w:color="auto"/>
          </w:divBdr>
        </w:div>
        <w:div w:id="1495022931">
          <w:marLeft w:val="0"/>
          <w:marRight w:val="0"/>
          <w:marTop w:val="0"/>
          <w:marBottom w:val="0"/>
          <w:divBdr>
            <w:top w:val="none" w:sz="0" w:space="0" w:color="auto"/>
            <w:left w:val="none" w:sz="0" w:space="0" w:color="auto"/>
            <w:bottom w:val="none" w:sz="0" w:space="0" w:color="auto"/>
            <w:right w:val="none" w:sz="0" w:space="0" w:color="auto"/>
          </w:divBdr>
        </w:div>
        <w:div w:id="1524396669">
          <w:marLeft w:val="0"/>
          <w:marRight w:val="0"/>
          <w:marTop w:val="0"/>
          <w:marBottom w:val="0"/>
          <w:divBdr>
            <w:top w:val="none" w:sz="0" w:space="0" w:color="auto"/>
            <w:left w:val="none" w:sz="0" w:space="0" w:color="auto"/>
            <w:bottom w:val="none" w:sz="0" w:space="0" w:color="auto"/>
            <w:right w:val="none" w:sz="0" w:space="0" w:color="auto"/>
          </w:divBdr>
        </w:div>
        <w:div w:id="1562713956">
          <w:marLeft w:val="0"/>
          <w:marRight w:val="0"/>
          <w:marTop w:val="0"/>
          <w:marBottom w:val="0"/>
          <w:divBdr>
            <w:top w:val="none" w:sz="0" w:space="0" w:color="auto"/>
            <w:left w:val="none" w:sz="0" w:space="0" w:color="auto"/>
            <w:bottom w:val="none" w:sz="0" w:space="0" w:color="auto"/>
            <w:right w:val="none" w:sz="0" w:space="0" w:color="auto"/>
          </w:divBdr>
        </w:div>
      </w:divsChild>
    </w:div>
    <w:div w:id="1296182279">
      <w:bodyDiv w:val="1"/>
      <w:marLeft w:val="0"/>
      <w:marRight w:val="0"/>
      <w:marTop w:val="0"/>
      <w:marBottom w:val="0"/>
      <w:divBdr>
        <w:top w:val="none" w:sz="0" w:space="0" w:color="auto"/>
        <w:left w:val="none" w:sz="0" w:space="0" w:color="auto"/>
        <w:bottom w:val="none" w:sz="0" w:space="0" w:color="auto"/>
        <w:right w:val="none" w:sz="0" w:space="0" w:color="auto"/>
      </w:divBdr>
      <w:divsChild>
        <w:div w:id="420177012">
          <w:marLeft w:val="0"/>
          <w:marRight w:val="0"/>
          <w:marTop w:val="0"/>
          <w:marBottom w:val="0"/>
          <w:divBdr>
            <w:top w:val="none" w:sz="0" w:space="0" w:color="auto"/>
            <w:left w:val="none" w:sz="0" w:space="0" w:color="auto"/>
            <w:bottom w:val="none" w:sz="0" w:space="0" w:color="auto"/>
            <w:right w:val="none" w:sz="0" w:space="0" w:color="auto"/>
          </w:divBdr>
        </w:div>
        <w:div w:id="1380860946">
          <w:marLeft w:val="0"/>
          <w:marRight w:val="0"/>
          <w:marTop w:val="0"/>
          <w:marBottom w:val="0"/>
          <w:divBdr>
            <w:top w:val="none" w:sz="0" w:space="0" w:color="auto"/>
            <w:left w:val="none" w:sz="0" w:space="0" w:color="auto"/>
            <w:bottom w:val="none" w:sz="0" w:space="0" w:color="auto"/>
            <w:right w:val="none" w:sz="0" w:space="0" w:color="auto"/>
          </w:divBdr>
        </w:div>
        <w:div w:id="2080054219">
          <w:marLeft w:val="0"/>
          <w:marRight w:val="0"/>
          <w:marTop w:val="0"/>
          <w:marBottom w:val="0"/>
          <w:divBdr>
            <w:top w:val="none" w:sz="0" w:space="0" w:color="auto"/>
            <w:left w:val="none" w:sz="0" w:space="0" w:color="auto"/>
            <w:bottom w:val="none" w:sz="0" w:space="0" w:color="auto"/>
            <w:right w:val="none" w:sz="0" w:space="0" w:color="auto"/>
          </w:divBdr>
        </w:div>
      </w:divsChild>
    </w:div>
    <w:div w:id="1584873053">
      <w:bodyDiv w:val="1"/>
      <w:marLeft w:val="0"/>
      <w:marRight w:val="0"/>
      <w:marTop w:val="0"/>
      <w:marBottom w:val="0"/>
      <w:divBdr>
        <w:top w:val="none" w:sz="0" w:space="0" w:color="auto"/>
        <w:left w:val="none" w:sz="0" w:space="0" w:color="auto"/>
        <w:bottom w:val="none" w:sz="0" w:space="0" w:color="auto"/>
        <w:right w:val="none" w:sz="0" w:space="0" w:color="auto"/>
      </w:divBdr>
      <w:divsChild>
        <w:div w:id="498425919">
          <w:marLeft w:val="0"/>
          <w:marRight w:val="0"/>
          <w:marTop w:val="0"/>
          <w:marBottom w:val="0"/>
          <w:divBdr>
            <w:top w:val="none" w:sz="0" w:space="0" w:color="auto"/>
            <w:left w:val="none" w:sz="0" w:space="0" w:color="auto"/>
            <w:bottom w:val="none" w:sz="0" w:space="0" w:color="auto"/>
            <w:right w:val="none" w:sz="0" w:space="0" w:color="auto"/>
          </w:divBdr>
        </w:div>
        <w:div w:id="1654530840">
          <w:marLeft w:val="0"/>
          <w:marRight w:val="0"/>
          <w:marTop w:val="0"/>
          <w:marBottom w:val="0"/>
          <w:divBdr>
            <w:top w:val="none" w:sz="0" w:space="0" w:color="auto"/>
            <w:left w:val="none" w:sz="0" w:space="0" w:color="auto"/>
            <w:bottom w:val="none" w:sz="0" w:space="0" w:color="auto"/>
            <w:right w:val="none" w:sz="0" w:space="0" w:color="auto"/>
          </w:divBdr>
        </w:div>
        <w:div w:id="2019116524">
          <w:marLeft w:val="0"/>
          <w:marRight w:val="0"/>
          <w:marTop w:val="0"/>
          <w:marBottom w:val="0"/>
          <w:divBdr>
            <w:top w:val="none" w:sz="0" w:space="0" w:color="auto"/>
            <w:left w:val="none" w:sz="0" w:space="0" w:color="auto"/>
            <w:bottom w:val="none" w:sz="0" w:space="0" w:color="auto"/>
            <w:right w:val="none" w:sz="0" w:space="0" w:color="auto"/>
          </w:divBdr>
        </w:div>
      </w:divsChild>
    </w:div>
    <w:div w:id="1936555865">
      <w:bodyDiv w:val="1"/>
      <w:marLeft w:val="0"/>
      <w:marRight w:val="0"/>
      <w:marTop w:val="0"/>
      <w:marBottom w:val="0"/>
      <w:divBdr>
        <w:top w:val="none" w:sz="0" w:space="0" w:color="auto"/>
        <w:left w:val="none" w:sz="0" w:space="0" w:color="auto"/>
        <w:bottom w:val="none" w:sz="0" w:space="0" w:color="auto"/>
        <w:right w:val="none" w:sz="0" w:space="0" w:color="auto"/>
      </w:divBdr>
      <w:divsChild>
        <w:div w:id="237325570">
          <w:marLeft w:val="0"/>
          <w:marRight w:val="0"/>
          <w:marTop w:val="0"/>
          <w:marBottom w:val="0"/>
          <w:divBdr>
            <w:top w:val="none" w:sz="0" w:space="0" w:color="auto"/>
            <w:left w:val="none" w:sz="0" w:space="0" w:color="auto"/>
            <w:bottom w:val="none" w:sz="0" w:space="0" w:color="auto"/>
            <w:right w:val="none" w:sz="0" w:space="0" w:color="auto"/>
          </w:divBdr>
        </w:div>
        <w:div w:id="1253659067">
          <w:marLeft w:val="0"/>
          <w:marRight w:val="0"/>
          <w:marTop w:val="0"/>
          <w:marBottom w:val="0"/>
          <w:divBdr>
            <w:top w:val="none" w:sz="0" w:space="0" w:color="auto"/>
            <w:left w:val="none" w:sz="0" w:space="0" w:color="auto"/>
            <w:bottom w:val="none" w:sz="0" w:space="0" w:color="auto"/>
            <w:right w:val="none" w:sz="0" w:space="0" w:color="auto"/>
          </w:divBdr>
        </w:div>
        <w:div w:id="1659846170">
          <w:marLeft w:val="0"/>
          <w:marRight w:val="0"/>
          <w:marTop w:val="0"/>
          <w:marBottom w:val="0"/>
          <w:divBdr>
            <w:top w:val="none" w:sz="0" w:space="0" w:color="auto"/>
            <w:left w:val="none" w:sz="0" w:space="0" w:color="auto"/>
            <w:bottom w:val="none" w:sz="0" w:space="0" w:color="auto"/>
            <w:right w:val="none" w:sz="0" w:space="0" w:color="auto"/>
          </w:divBdr>
        </w:div>
        <w:div w:id="1931817396">
          <w:marLeft w:val="0"/>
          <w:marRight w:val="0"/>
          <w:marTop w:val="0"/>
          <w:marBottom w:val="0"/>
          <w:divBdr>
            <w:top w:val="none" w:sz="0" w:space="0" w:color="auto"/>
            <w:left w:val="none" w:sz="0" w:space="0" w:color="auto"/>
            <w:bottom w:val="none" w:sz="0" w:space="0" w:color="auto"/>
            <w:right w:val="none" w:sz="0" w:space="0" w:color="auto"/>
          </w:divBdr>
        </w:div>
      </w:divsChild>
    </w:div>
    <w:div w:id="1941837902">
      <w:bodyDiv w:val="1"/>
      <w:marLeft w:val="0"/>
      <w:marRight w:val="0"/>
      <w:marTop w:val="0"/>
      <w:marBottom w:val="0"/>
      <w:divBdr>
        <w:top w:val="none" w:sz="0" w:space="0" w:color="auto"/>
        <w:left w:val="none" w:sz="0" w:space="0" w:color="auto"/>
        <w:bottom w:val="none" w:sz="0" w:space="0" w:color="auto"/>
        <w:right w:val="none" w:sz="0" w:space="0" w:color="auto"/>
      </w:divBdr>
      <w:divsChild>
        <w:div w:id="299268011">
          <w:marLeft w:val="0"/>
          <w:marRight w:val="0"/>
          <w:marTop w:val="0"/>
          <w:marBottom w:val="0"/>
          <w:divBdr>
            <w:top w:val="none" w:sz="0" w:space="0" w:color="auto"/>
            <w:left w:val="none" w:sz="0" w:space="0" w:color="auto"/>
            <w:bottom w:val="none" w:sz="0" w:space="0" w:color="auto"/>
            <w:right w:val="none" w:sz="0" w:space="0" w:color="auto"/>
          </w:divBdr>
        </w:div>
        <w:div w:id="690107397">
          <w:marLeft w:val="0"/>
          <w:marRight w:val="0"/>
          <w:marTop w:val="0"/>
          <w:marBottom w:val="0"/>
          <w:divBdr>
            <w:top w:val="none" w:sz="0" w:space="0" w:color="auto"/>
            <w:left w:val="none" w:sz="0" w:space="0" w:color="auto"/>
            <w:bottom w:val="none" w:sz="0" w:space="0" w:color="auto"/>
            <w:right w:val="none" w:sz="0" w:space="0" w:color="auto"/>
          </w:divBdr>
        </w:div>
        <w:div w:id="693961835">
          <w:marLeft w:val="0"/>
          <w:marRight w:val="0"/>
          <w:marTop w:val="0"/>
          <w:marBottom w:val="0"/>
          <w:divBdr>
            <w:top w:val="none" w:sz="0" w:space="0" w:color="auto"/>
            <w:left w:val="none" w:sz="0" w:space="0" w:color="auto"/>
            <w:bottom w:val="none" w:sz="0" w:space="0" w:color="auto"/>
            <w:right w:val="none" w:sz="0" w:space="0" w:color="auto"/>
          </w:divBdr>
        </w:div>
        <w:div w:id="789477508">
          <w:marLeft w:val="0"/>
          <w:marRight w:val="0"/>
          <w:marTop w:val="0"/>
          <w:marBottom w:val="0"/>
          <w:divBdr>
            <w:top w:val="none" w:sz="0" w:space="0" w:color="auto"/>
            <w:left w:val="none" w:sz="0" w:space="0" w:color="auto"/>
            <w:bottom w:val="none" w:sz="0" w:space="0" w:color="auto"/>
            <w:right w:val="none" w:sz="0" w:space="0" w:color="auto"/>
          </w:divBdr>
        </w:div>
        <w:div w:id="1951470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ec98ab0-c939-49a1-bdf8-a824b6abe8d9">
      <Terms xmlns="http://schemas.microsoft.com/office/infopath/2007/PartnerControls"/>
    </lcf76f155ced4ddcb4097134ff3c332f>
    <TaxCatchAll xmlns="f76aaf80-9812-406c-9dd3-ccb851cf3a75" xsi:nil="true"/>
    <Finalis_x00e9_ xmlns="bec98ab0-c939-49a1-bdf8-a824b6abe8d9">false</Finalis_x00e9_>
    <EMail xmlns="http://schemas.microsoft.com/sharepoint/v3" xsi:nil="true"/>
    <_dlc_DocId xmlns="4737b361-35a6-4908-86d4-6df482422a04">XPJTHXDMYTKC-1148532594-24191</_dlc_DocId>
    <_dlc_DocIdUrl xmlns="4737b361-35a6-4908-86d4-6df482422a04">
      <Url>https://014gc.sharepoint.com/sites/LO_PartieVII-PartVII_OL/_layouts/15/DocIdRedir.aspx?ID=XPJTHXDMYTKC-1148532594-24191</Url>
      <Description>XPJTHXDMYTKC-1148532594-24191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15CE2EA-6C13-4FA1-9CC5-E949F051C8F5}">
  <ds:schemaRefs>
    <ds:schemaRef ds:uri="http://schemas.microsoft.com/sharepoint/v3/contenttype/forms"/>
  </ds:schemaRefs>
</ds:datastoreItem>
</file>

<file path=customXml/itemProps2.xml><?xml version="1.0" encoding="utf-8"?>
<ds:datastoreItem xmlns:ds="http://schemas.openxmlformats.org/officeDocument/2006/customXml" ds:itemID="{4E144564-930B-4CF0-9520-00270C12063A}">
  <ds:schemaRefs>
    <ds:schemaRef ds:uri="http://schemas.openxmlformats.org/officeDocument/2006/bibliography"/>
  </ds:schemaRefs>
</ds:datastoreItem>
</file>

<file path=customXml/itemProps3.xml><?xml version="1.0" encoding="utf-8"?>
<ds:datastoreItem xmlns:ds="http://schemas.openxmlformats.org/officeDocument/2006/customXml" ds:itemID="{5CF031F7-2455-411B-9EF2-FFC436FEDC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B33B14-2B49-48D3-905F-C53A6F577093}">
  <ds:schemaRefs>
    <ds:schemaRef ds:uri="http://purl.org/dc/elements/1.1/"/>
    <ds:schemaRef ds:uri="http://purl.org/dc/terms/"/>
    <ds:schemaRef ds:uri="http://schemas.microsoft.com/office/infopath/2007/PartnerControls"/>
    <ds:schemaRef ds:uri="4737b361-35a6-4908-86d4-6df482422a04"/>
    <ds:schemaRef ds:uri="http://schemas.microsoft.com/sharepoint/v3"/>
    <ds:schemaRef ds:uri="http://purl.org/dc/dcmitype/"/>
    <ds:schemaRef ds:uri="http://schemas.microsoft.com/office/2006/metadata/properties"/>
    <ds:schemaRef ds:uri="http://schemas.openxmlformats.org/package/2006/metadata/core-properties"/>
    <ds:schemaRef ds:uri="http://schemas.microsoft.com/office/2006/documentManagement/types"/>
    <ds:schemaRef ds:uri="f76aaf80-9812-406c-9dd3-ccb851cf3a75"/>
    <ds:schemaRef ds:uri="bec98ab0-c939-49a1-bdf8-a824b6abe8d9"/>
    <ds:schemaRef ds:uri="http://www.w3.org/XML/1998/namespace"/>
  </ds:schemaRefs>
</ds:datastoreItem>
</file>

<file path=customXml/itemProps5.xml><?xml version="1.0" encoding="utf-8"?>
<ds:datastoreItem xmlns:ds="http://schemas.openxmlformats.org/officeDocument/2006/customXml" ds:itemID="{C834A850-E2C9-4C05-B4F4-8B5717BF565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367</Words>
  <Characters>2190</Characters>
  <Application>Microsoft Office Word</Application>
  <DocSecurity>0</DocSecurity>
  <Lines>52</Lines>
  <Paragraphs>15</Paragraphs>
  <ScaleCrop>false</ScaleCrop>
  <Company>Gouvernement du Canada - Government of Canada</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Youth Employment and Skills Strategy One pager</dc:title>
  <dc:subject/>
  <dc:creator>Sauvé, Julie JS [NC]</dc:creator>
  <cp:keywords/>
  <dc:description/>
  <cp:lastModifiedBy>Maxwell-Campagna, Katia KM [NC]</cp:lastModifiedBy>
  <cp:revision>75</cp:revision>
  <dcterms:created xsi:type="dcterms:W3CDTF">2025-10-29T15:01:00Z</dcterms:created>
  <dcterms:modified xsi:type="dcterms:W3CDTF">2025-11-05T18:11:00Z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MediaServiceImageTags">
    <vt:lpwstr/>
  </property>
  <property fmtid="{D5CDD505-2E9C-101B-9397-08002B2CF9AE}" pid="4" name="_dlc_DocIdItemGuid">
    <vt:lpwstr>e5429c39-0f12-4064-aa09-f7fc01b78268</vt:lpwstr>
  </property>
  <property fmtid="{D5CDD505-2E9C-101B-9397-08002B2CF9AE}" pid="5" name="Order">
    <vt:r8>2405300</vt:r8>
  </property>
</Properties>
</file>